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Umowa powierzenia przetwarzania danych (DPA) — PilotGo</w:t>
      </w:r>
    </w:p>
    <w:p>
      <w:r>
        <w:t>Załączniki nr 1 i 2 w brzmieniu obowiązującym od 15 października 2026 r.</w:t>
      </w:r>
    </w:p>
    <w:p>
      <w:pPr>
        <w:pStyle w:val="Heading2"/>
      </w:pPr>
      <w:r>
        <w:t>1. POSTANOWIENIA OGÓLNE</w:t>
      </w:r>
    </w:p>
    <w:p>
      <w:r>
        <w:t>1.1. Ilekroć w niniejszej Umowie Powierzenia poniższe wyrażenia są pisane wielką literą, mają one znaczenie określone poniżej:</w:t>
      </w:r>
    </w:p>
    <w:p>
      <w:pPr>
        <w:pStyle w:val="ListBullet"/>
      </w:pPr>
      <w:r>
        <w:t>Dane osobowe lub Dane — oznaczają dane osobowe zdefiniowane w art. 4 pkt 1 RODO</w:t>
      </w:r>
    </w:p>
    <w:p>
      <w:pPr>
        <w:pStyle w:val="ListBullet"/>
      </w:pPr>
      <w:r>
        <w:t>Naruszenie — oznacza naruszenie ochrony danych osobowych zdefiniowane w art. 4 pkt 12 RODO</w:t>
      </w:r>
    </w:p>
    <w:p>
      <w:pPr>
        <w:pStyle w:val="ListBullet"/>
      </w:pPr>
      <w:r>
        <w:t>Umowa Powierzenia — oznacza niniejszą umowę powierzenia</w:t>
      </w:r>
    </w:p>
    <w:p>
      <w:pPr>
        <w:pStyle w:val="ListBullet"/>
      </w:pPr>
      <w:r>
        <w:t>Przetwarzający — oznacza PilotGo spółkę z ograniczoną odpowiedzialnością z siedzibą w Gdańsku (Usługodawcę w rozumieniu Regulaminu)</w:t>
      </w:r>
    </w:p>
    <w:p>
      <w:pPr>
        <w:pStyle w:val="ListBullet"/>
      </w:pPr>
      <w:r>
        <w:t>Powierzający — oznacza Subskrybenta, na rzecz którego świadczona jest Usługa</w:t>
      </w:r>
    </w:p>
    <w:p>
      <w:r>
        <w:t>1.2. Ilekroć Umowa Powierzenia odwołuje się do pojęć zdefiniowanych w umowie o świadczenie usług zawartej przez Strony na podstawie Regulaminu (dalej: „Umowie Głównej”), należy je rozumieć zgodnie z definicją przyjętą w Umowie Głównej.</w:t>
      </w:r>
    </w:p>
    <w:p>
      <w:r>
        <w:t>1.3. O ile postanowienia niniejszej Umowy Powierzenia bezpośrednio lub pośrednio nie stanowią inaczej, definicje, które odnoszą się do terminu w liczbie mnogiej, odnoszą się również do tego terminu w liczbie pojedynczej i odwrotnie.</w:t>
      </w:r>
    </w:p>
    <w:p>
      <w:r>
        <w:t>1.4. W przypadku jakiegokolwiek konfliktu, niespójności lub rozbieżności pomiędzy Umową Powierzenia a Umową Główną, postanowienia zawarte w Umowie Powierzenia będą miały pierwszeństwo.</w:t>
      </w:r>
    </w:p>
    <w:p>
      <w:pPr>
        <w:pStyle w:val="Heading2"/>
      </w:pPr>
      <w:r>
        <w:t>2. POWIERZENIE DANYCH OSOBOWYCH</w:t>
      </w:r>
    </w:p>
    <w:p>
      <w:r>
        <w:t>2.1. Powierzający powierza Przetwarzającemu Dane osobowe wskazane w załączniku nr 1 do Umowy Powierzenia, do przetwarzania na zasadach i w celu określonym w Umowie Powierzenia. Cel i zakres powierzenia przetwarzania danych osobowych ogranicza się do zadań i czynności koniecznych do wykonania Umowy.</w:t>
      </w:r>
    </w:p>
    <w:p>
      <w:r>
        <w:t>2.2. Przetwarzanie danych osobowych następować będzie według zasad określonych w Umowie i RODO.</w:t>
      </w:r>
    </w:p>
    <w:p>
      <w:r>
        <w:t>2.3. Przetwarzający zobowiązuje się przetwarzać dane osobowe wyłącznie na udokumentowane polecenie Powierzającego, chyba że obowiązek taki nakłada na niego obowiązujące prawo krajowe lub unijne. W takim przypadku przed rozpoczęciem przetwarzania Przetwarzający informuje Powierzającego o tym obowiązku prawnym, przy czym za takie udokumentowane polecenie uważa się postanowienia Umowy i Umowy Głównej oraz korzystanie z funkcjonalności Usługi.</w:t>
      </w:r>
    </w:p>
    <w:p>
      <w:r>
        <w:t>2.4. Przetwarzającemu nie przysługuje dodatkowe wynagrodzenie z tytułu wykonywania czynności określonych w Umowie, poza wynagrodzeniem, które wynika z Umowy Głównej, chyba że Umowa lub Umowa Powierzenia wyraźnie wskazuje inaczej.</w:t>
      </w:r>
    </w:p>
    <w:p>
      <w:r>
        <w:t>2.5. Przetwarzanie Danych osobowych będzie wykonywane w okresie obowiązywania Umowy. Jeżeli Strony będą związane kilkoma Umowami związanymi z powierzeniem przetwarzania danych osobowych, czas przetwarzania trwa do wygaśnięcia ostatniej z nich.</w:t>
      </w:r>
    </w:p>
    <w:p>
      <w:r>
        <w:t>2.6. Przetwarzający oświadcza, że zapewnia wystarczające gwarancje wdrożenia odpowiednich środków technicznych i organizacyjnych, zapewniających odpowiedni stopień bezpieczeństwa odpowiadający ryzyku związanemu z przetwarzaniem Danych osobowych tak, aby przetwarzanie spełniało wymogi RODO oraz w sposób rzeczywisty chroniło prawa osób, których Dane dotyczą.</w:t>
      </w:r>
    </w:p>
    <w:p>
      <w:r>
        <w:t>2.7. Powierzający oświadcza, że jest uprawniony do przetwarzania Danych osobowych w zakresie, w jakim je powierza do przetwarzania Przetwarzającemu, w tym w szczególności, że dopełnił wszelkich czynności wymaganych RODO i innymi obowiązującymi przepisami prawa oraz że dysponuje odpowiednią podstawą prawną ich przetwarzania.</w:t>
      </w:r>
    </w:p>
    <w:p>
      <w:pPr>
        <w:pStyle w:val="Heading2"/>
      </w:pPr>
      <w:r>
        <w:t>3. ZAKRES I CEL POWIERZENIA</w:t>
      </w:r>
    </w:p>
    <w:p>
      <w:r>
        <w:t>3.1. Powierzone dane osobowe przetwarzane będą co do zasady w systemach informatycznych Przetwarzającego, a w formie papierowej jedynie wówczas, gdy okaże się to niezbędne do wykonania Umowy.</w:t>
      </w:r>
    </w:p>
    <w:p>
      <w:r>
        <w:t>3.2. Przetwarzanie powierzonych danych osobowych ma charakter ciągły.</w:t>
      </w:r>
    </w:p>
    <w:p>
      <w:r>
        <w:t>3.3. Podmiot Przetwarzający oświadcza, że dane osobowe będą przetwarzane co do zasady w ramach Europejskiego Obszaru Gospodarczego. Przekazanie danych poza EOG jest dopuszczalne na rzecz dalszych podmiotów przetwarzających wskazanych w załączniku nr 2, pod warunkiem zgodności z rozdziałem V RODO, na podstawie decyzji Komisji Europejskiej stwierdzającej odpowiedni stopień ochrony (w tym EU-US Data Privacy Framework) albo standardowych klauzul umownych wraz z niezbędnymi środkami uzupełniającymi. Pkt 5.7 stosuje się.</w:t>
      </w:r>
    </w:p>
    <w:p>
      <w:pPr>
        <w:pStyle w:val="Heading2"/>
      </w:pPr>
      <w:r>
        <w:t>4. OBOWIĄZKI PRZETWARZAJĄCEGO</w:t>
      </w:r>
    </w:p>
    <w:p>
      <w:r>
        <w:t>4.1. Przetwarzający zobowiązuje się dołożyć należytej staranności przy przetwarzaniu powierzonych Danych osobowych.</w:t>
      </w:r>
    </w:p>
    <w:p>
      <w:r>
        <w:t>4.2. Przetwarzający ponosi odpowiedzialność za działania swoich pracowników i innych osób, przy pomocy których przetwarza powierzone Dane osobowe, jak za własne działanie i zaniechanie.</w:t>
      </w:r>
    </w:p>
    <w:p>
      <w:r>
        <w:t>4.3. Przetwarzający zobowiązuje się do nadania upoważnień do przetwarzania Danych osobowych wszystkim osobom, które będą przetwarzały powierzone mu Dane w celu realizacji niniejszej Umowy Powierzenia oraz ich przeszkolenia z zakresu ochrony Danych. Zapewnia również, że osoby przez niego upoważnione do przetwarzania zostaną zobowiązane do zachowania w tajemnicy przetwarzanych Danych osobowych, chyba że będą to osoby zobowiązane do zachowania tajemnicy na podstawie obowiązującego prawa.</w:t>
      </w:r>
    </w:p>
    <w:p>
      <w:r>
        <w:t>4.4. Przetwarzający po zakończeniu świadczenia Usług związanych z przetwarzaniem powierzonych mu Danych usuwa wszelkie ich istniejące kopie, chyba że prawo Unii lub prawo państwa członkowskiego nakazują przechowywanie Danych osobowych, przy czym Dane zostaną usunięte w czasie niezbędnym do wykonania technicznych czynności składających się na usunięcie Konta, a także danych powiązanych z Kontem, w tym prowadzonych backupów — z uwzględnieniem okresu eksportu danych przewidzianego w Regulaminie.</w:t>
      </w:r>
    </w:p>
    <w:p>
      <w:r>
        <w:t>4.5. Przetwarzający zobowiązany jest do stosowania wszelkich adekwatnych do poziomu ryzyka środków technicznych i organizacyjnych zabezpieczających Dane osobowe na zasadach określonych w art. 32 RODO.</w:t>
      </w:r>
    </w:p>
    <w:p>
      <w:r>
        <w:t>4.6. Przetwarzający zawiadamia Powierzającego o stwierdzonym Naruszeniu dotyczącym powierzonych Danych bez zbędnej zwłoki, przekazując informacje niezbędne Powierzającemu do wywiązania się z obowiązków określonych w art. 33-34 RODO.</w:t>
      </w:r>
    </w:p>
    <w:p>
      <w:r>
        <w:t>4.7. W miarę możliwości, Przetwarzający pomaga Powierzającemu w niezbędnym zakresie wywiązywać się z obowiązków określonych w art. 32-36 RODO.</w:t>
      </w:r>
    </w:p>
    <w:p>
      <w:r>
        <w:t>4.8. Przetwarzający zobowiązuje się pomagać Powierzającemu poprzez odpowiednie środki techniczne i organizacyjne w wywiązywaniu się z obowiązku odpowiadania na żądania osób, których dane dotyczą, w zakresie wykonywania ich praw określonych w rozdziale III RODO.</w:t>
      </w:r>
    </w:p>
    <w:p>
      <w:r>
        <w:t>4.9. Przetwarzający udostępnia Powierzającemu wszelkie informacje niezbędne do wykazania spełnienia obowiązków określonych w niniejszym rozdziale oraz umożliwi Powierzającemu lub audytorowi upoważnionemu przez Powierzającego przeprowadzanie audytów, w tym inspekcji, i przyczynia się do nich. Koszty audytu ponosi każda ze Stron we własnym zakresie. Powierzający zobowiązany jest do zachowania w poufności wszelkich informacji uzyskanych w związku z przeprowadzanym audytem, w tym wyników audytu. Zobowiązanie do poufności obowiązuje przez okres obowiązywania Umowy Powierzenia oraz przez okres 5 lat po jej zakończeniu.</w:t>
      </w:r>
    </w:p>
    <w:p>
      <w:r>
        <w:t>4.10. Przetwarzający niezwłocznie informuje Powierzającego, jeżeli jego zdaniem wydane mu polecenie stanowi naruszenie RODO lub innych przepisów Unii lub państwa członkowskiego o ochronie danych.</w:t>
      </w:r>
    </w:p>
    <w:p>
      <w:r>
        <w:t>4.11. Strony ustalają, że obowiązek pomocy określony w pkt 4.7 oraz 4.8 powyżej jest realizowany przez Przetwarzającego nieodpłatnie w podstawowym, zwyczajowo przyjętym zakresie. Jeżeli jednak realizacja żądania Powierzającego będzie wymagała niestandardowych działań lub znacznego zaangażowania zasobów Przetwarzającego, Przetwarzający poinformuje o tym Powierzającego. W takim przypadku dalsze działania będą traktowane jako usługa dodatkowa wsparcia technicznego, a ich realizacja i rozliczenie nastąpi po uprzedniej akceptacji wyceny czasowej przez Powierzającego, na koszt Powierzającego.</w:t>
      </w:r>
    </w:p>
    <w:p>
      <w:pPr>
        <w:pStyle w:val="Heading2"/>
      </w:pPr>
      <w:r>
        <w:t>5. DALSZE POWIERZENIE I TRANSFER POZA EOG</w:t>
      </w:r>
    </w:p>
    <w:p>
      <w:r>
        <w:t>5.1. Powierzający udziela zgody Przetwarzającemu na dalsze powierzenie przetwarzania Danych osobowych podmiotom Przetwarzającego, których lista jest wskazana w załączniku nr 2 do Umowy Powierzenia.</w:t>
      </w:r>
    </w:p>
    <w:p>
      <w:r>
        <w:t>5.2. Dalsze powierzenie, o którym mowa w pkt 5.1 powyżej, ma na celu wyłącznie zagwarantowanie prawidłowego oraz bezpiecznego działania Usługi i jej świadczenia zgodnie z Umową.</w:t>
      </w:r>
    </w:p>
    <w:p>
      <w:r>
        <w:t>5.3. Przetwarzający poinformuje Powierzającego o zmianie w zakresie dalszego powierzenia, poprzez zmianę załącznika nr 2 i informację przesłaną Powierzającemu w ramach Usługi lub e-mailem. Aktualna lista dalszych podmiotów przetwarzających dostępna jest pod adresem https://pilotgo.ai/dpa lub w Usłudze i zastępuje każdorazowo załącznik nr 2. Powierzający uprawniony jest do zgłoszenia sprzeciwu co do zamiaru przekazania danych osobowych do przetwarzania dalszemu przetwarzającemu w ciągu 7 dni od otrzymania stosownej informacji o zamiarze przekazania danych dalszemu przetwarzającemu. Z chwilą zgłoszenia sprzeciwu przez Powierzającego, Przetwarzający traci prawo powierzenia danych osobowych dalszemu przetwarzającemu objętemu sprzeciwem.</w:t>
      </w:r>
    </w:p>
    <w:p>
      <w:r>
        <w:t>5.4. Przed rozpoczęciem przetwarzania Danych osobowych przez dalszego przetwarzającego, Przetwarzający potwierdzi, że dalszy przetwarzający jest w stanie zapewnić poziom ochrony danych osobowych wymagany na podstawie postanowień niniejszej Umowy Powierzenia oraz spełniający wymogi wynikające z RODO.</w:t>
      </w:r>
    </w:p>
    <w:p>
      <w:r>
        <w:t>5.5. W przypadku dalszego powierzenia, podstawą przetwarzania będzie umowa, w której dalszy przetwarzający zobowiąże się do wykonania tych samych obowiązków, które na mocy Umowy i RODO nałożone są na Przetwarzającego.</w:t>
      </w:r>
    </w:p>
    <w:p>
      <w:r>
        <w:t>5.6. Przetwarzający ponosi odpowiedzialność wobec Powierzającego za niewykonanie lub nienależyte wykonanie obowiązków przez dalszego przetwarzającego ciążących na nim z mocy stosowanych przepisów prawa lub stosunku umownego.</w:t>
      </w:r>
    </w:p>
    <w:p>
      <w:r>
        <w:t>5.7. Przetwarzający nie będzie przekazywał Danych osobowych poza terytorium Europejskiego Obszaru Gospodarczego, chyba że uzyska w tym zakresie odrębne zezwolenie Powierzającego, którego Powierzający nie odmówi bez uzasadnionych przyczyn, a taki transfer będzie odbywać się w zgodzie z przepisami RODO. W każdym wypadku przekazanie odbywać się będzie wyłącznie w celu realizacji Umowy. Powierzający wyraża zgodę na przekazanie Danych osobowych poza terytorium Europejskiego Obszaru Gospodarczego podmiotom wskazanym w załączniku nr 2.</w:t>
      </w:r>
    </w:p>
    <w:p>
      <w:pPr>
        <w:pStyle w:val="Heading2"/>
      </w:pPr>
      <w:r>
        <w:t>6. ODPOWIEDZIALNOŚĆ</w:t>
      </w:r>
    </w:p>
    <w:p>
      <w:r>
        <w:t>6.1. Przetwarzający jest odpowiedzialny za udostępnienie lub wykorzystanie Danych osobowych niezgodnie z treścią niniejszej Umowy Powierzenia, a w szczególności za udostępnienie powierzonych do przetwarzania danych osobowych osobom nieupoważnionym.</w:t>
      </w:r>
    </w:p>
    <w:p>
      <w:r>
        <w:t>6.2. Przetwarzający odpowiada za rzeczywiste szkody spowodowane przetwarzaniem Danych osobowych w sposób naruszający przepisy RODO, w zakresie w jakim nie dopełnił obowiązków nałożonych na niego przez RODO lub gdy działał poza zgodnymi z prawem instrukcjami Powierzającego lub wbrew tym instrukcjom, przy czym łączna odpowiedzialność Przetwarzającego w związku z przetwarzaniem Danych osobowych na podstawie Umowy Powierzenia ograniczona jest do wysokości wynagrodzenia zapłaconego Przetwarzającemu na podstawie Umowy Głównej w trakcie ostatnich dwunastu miesięcy licząc od dnia powstania szkody, chyba że bezwzględnie obowiązujące przepisy prawa stanowią inaczej.</w:t>
      </w:r>
    </w:p>
    <w:p>
      <w:pPr>
        <w:pStyle w:val="Heading2"/>
      </w:pPr>
      <w:r>
        <w:t>7. POSTANOWIENIA KOŃCOWE</w:t>
      </w:r>
    </w:p>
    <w:p>
      <w:r>
        <w:t>7.1. Zmiana Umowy Powierzenia jest możliwa wyłącznie w formie pisemnej pod rygorem nieważności, z wyjątkiem przypadków, w których Umowa Powierzenia wprost przewiduje inną formę dokonywania zmian.</w:t>
      </w:r>
    </w:p>
    <w:p>
      <w:r>
        <w:t>7.2. Zmiana Umowy Powierzenia możliwa jest w oparciu o oświadczenie Przetwarzającego, złożone Powierzającemu w formie dokumentowej (w tym e-mailowej). Zmiana jest skuteczna, jeśli Powierzający nie sprzeciwi się jej w terminie 7 dni od otrzymania oświadczenia Przetwarzającego, przy czym zmiana Umowy w sposób określony w zdaniu poprzedzającym nie będzie prowadzić do rozszerzenia obowiązków lub ograniczenia uprawnień Powierzającego, w tym w szczególności nie będzie prowadzić do zmiany wysokości wynagrodzenia wynikającego z Umowy Powierzenia.</w:t>
      </w:r>
    </w:p>
    <w:p>
      <w:r>
        <w:t>7.3. Poniższe załączniki do Umowy Powierzenia stanowią integralną część Umowy Powierzenia. Zmiany załączników do Umowy Powierzenia nie stanowią zmiany jej treści: Załącznik nr 1 — Zakres i charakter powierzenia danych; Załącznik nr 2 — Lista dalszych podmiotów przetwarzających.</w:t>
      </w:r>
    </w:p>
    <w:p>
      <w:r>
        <w:t>7.4. Wszelkie spory mające związek z Umową Powierzenia będą rozstrzygane przez sąd właściwy zgodnie z Umową Główną.</w:t>
      </w:r>
    </w:p>
    <w:p>
      <w:r>
        <w:t>7.5. Niniejsza Umowa podlega wyłącznie prawu polskiemu.</w:t>
      </w:r>
    </w:p>
    <w:p>
      <w:pPr>
        <w:pStyle w:val="Heading2"/>
      </w:pPr>
      <w:r>
        <w:t>ZAŁĄCZNIK NR 1 DO UMOWY POWIERZENIA — ZAKRES I CHARAKTER POWIERZENIA DANYCH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Pozycja</w:t>
            </w:r>
          </w:p>
        </w:tc>
        <w:tc>
          <w:tcPr>
            <w:tcW w:type="dxa" w:w="4320"/>
          </w:tcPr>
          <w:p>
            <w:r>
              <w:t>Opis</w:t>
            </w:r>
          </w:p>
        </w:tc>
      </w:tr>
      <w:tr>
        <w:tc>
          <w:tcPr>
            <w:tcW w:type="dxa" w:w="4320"/>
          </w:tcPr>
          <w:p>
            <w:r>
              <w:t>Kategorie osób, których Dane dotyczą</w:t>
            </w:r>
          </w:p>
        </w:tc>
        <w:tc>
          <w:tcPr>
            <w:tcW w:type="dxa" w:w="4320"/>
          </w:tcPr>
          <w:p>
            <w:r>
              <w:t>Klienci końcowi Warsztatu (osoby kontaktujące się z Warsztatem lub obsługiwane przez Warsztat — telefonicznie, wiadomością SMS lub pocztą elektroniczną); pracownicy i współpracownicy Warsztatu korzystający z Usługi; osoby korespondujące z Warsztatem pocztą elektroniczną w sprawach związanych z jego działalnością (w szczególności pracownicy dostawców, hurtowni części, ubezpieczycieli i firm leasingowych) oraz osoby wymienione w treści tej korespondencji.</w:t>
            </w:r>
          </w:p>
        </w:tc>
      </w:tr>
      <w:tr>
        <w:tc>
          <w:tcPr>
            <w:tcW w:type="dxa" w:w="4320"/>
          </w:tcPr>
          <w:p>
            <w:r>
              <w:t>Kategorie Danych</w:t>
            </w:r>
          </w:p>
        </w:tc>
        <w:tc>
          <w:tcPr>
            <w:tcW w:type="dxa" w:w="4320"/>
          </w:tcPr>
          <w:p>
            <w:r>
              <w:t>Dane identyfikacyjne (imię, nazwisko), dane kontaktowe (numer telefonu, adres e-mail, adres), nagrania rozmów telefonicznych i ich transkrypcje, dane pojazdu (numer rejestracyjny, VIN, historia pojazdu i napraw), dane dotyczące wizyt, zleceń i zamówień; w przypadku podłączenia przez Warsztat skrzynki pocztowej do Usługi — treść i metadane korespondencji e-mail tej skrzynki (nadawca, odbiorcy, temat, data, treść wiadomości, informacja o załącznikach, identyfikatory wątków) oraz dane zawarte w tej korespondencji. Korespondencja może incydentalnie zawierać szczególne kategorie danych (art. 9 RODO), np. informacje o stanie zdrowia w sprawach szkód komunikacyjnych — są one przetwarzane wyłącznie w zakresie, w jakim zostały przesłane do Warsztatu. ; w przypadku podłączenia przez Warsztat integracji z RecyApp — dane dostępowe do BDO Warsztatu (identyfikator i sekret aplikacji), identyfikatory organizacji i miejsca w RecyApp oraz dane wpisów odpadów (kod odpadu, ilość, jednostka, data)</w:t>
            </w:r>
          </w:p>
        </w:tc>
      </w:tr>
      <w:tr>
        <w:tc>
          <w:tcPr>
            <w:tcW w:type="dxa" w:w="4320"/>
          </w:tcPr>
          <w:p>
            <w:r>
              <w:t>Charakter przetwarzania</w:t>
            </w:r>
          </w:p>
        </w:tc>
        <w:tc>
          <w:tcPr>
            <w:tcW w:type="dxa" w:w="4320"/>
          </w:tcPr>
          <w:p>
            <w:r>
              <w:t>Zbieranie, utrwalanie (w tym nagrywanie rozmów), transkrypcja i analiza z wykorzystaniem systemów AI, organizowanie, porządkowanie, przechowywanie, pobieranie, przeglądanie, wykorzystywanie (m.in. powiadomienia, wyceny, protokoły napraw), ujawnianie poprzez przesłanie, usuwanie lub niszczenie, anonimizowanie; w przypadku podłączenia skrzynki pocztowej przez Warsztat — pobieranie korespondencji z tej skrzynki, jej filtrowanie, kategoryzacja i przypisywanie do klientów, pojazdów i wizyt z wykorzystaniem systemów AI, przygotowywanie projektów odpowiedzi oraz wysyłanie wiadomości e-mail ze skrzynki Warsztatu w jego imieniu — na polecenie użytkownika Warsztatu albo automatycznie, w zakresie, w jakim Warsztat włączy tę funkcję w ustawieniach Usługi. Dostęp do skrzynki trwa do jej odłączenia przez Warsztat w Usłudze albo cofnięcia dostępu na koncie pocztowym. ; w przypadku podłączenia integracji z RecyApp — przekazywanie danych do RecyApp, tworzenie i korygowanie wpisów w ewidencji odpadów BDO Warsztatu na jego koncie oraz przenoszenie korekty ilości do BDO</w:t>
            </w:r>
          </w:p>
        </w:tc>
      </w:tr>
      <w:tr>
        <w:tc>
          <w:tcPr>
            <w:tcW w:type="dxa" w:w="4320"/>
          </w:tcPr>
          <w:p>
            <w:r>
              <w:t>Obszar, na którym będą przetwarzane dane osobowe</w:t>
            </w:r>
          </w:p>
        </w:tc>
        <w:tc>
          <w:tcPr>
            <w:tcW w:type="dxa" w:w="4320"/>
          </w:tcPr>
          <w:p>
            <w:r>
              <w:t>Europejski Obszar Gospodarczy oraz państwa trzecie wyłącznie w zakresie wskazanym w załączniku nr 2, na zasadach pkt 3.3 i 5.7 Umowy Powierzenia.</w:t>
            </w:r>
          </w:p>
        </w:tc>
      </w:tr>
    </w:tbl>
    <w:p>
      <w:pPr>
        <w:pStyle w:val="Heading2"/>
      </w:pPr>
      <w:r>
        <w:t>ZAŁĄCZNIK NR 2 DO UMOWY POWIERZENIA — LISTA DALSZYCH PODMIOTÓW PRZETWARZAJĄCYCH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Nazwa podmiotu przetwarzającego</w:t>
            </w:r>
          </w:p>
        </w:tc>
        <w:tc>
          <w:tcPr>
            <w:tcW w:type="dxa" w:w="2880"/>
          </w:tcPr>
          <w:p>
            <w:r>
              <w:t>Siedziba, adres</w:t>
            </w:r>
          </w:p>
        </w:tc>
        <w:tc>
          <w:tcPr>
            <w:tcW w:type="dxa" w:w="2880"/>
          </w:tcPr>
          <w:p>
            <w:r>
              <w:t>Transfer poza Europejski Obszar Gospodarczy</w:t>
            </w:r>
          </w:p>
        </w:tc>
      </w:tr>
      <w:tr>
        <w:tc>
          <w:tcPr>
            <w:tcW w:type="dxa" w:w="2880"/>
          </w:tcPr>
          <w:p>
            <w:r>
              <w:t>OVH Sp. z o.o. — (serwery, na których działa Usługa — baza danych i nagrania)</w:t>
            </w:r>
          </w:p>
        </w:tc>
        <w:tc>
          <w:tcPr>
            <w:tcW w:type="dxa" w:w="2880"/>
          </w:tcPr>
          <w:p>
            <w:r>
              <w:t>ul. Swobodna 1, 50-088 Wrocław, Polska</w:t>
            </w:r>
          </w:p>
        </w:tc>
        <w:tc>
          <w:tcPr>
            <w:tcW w:type="dxa" w:w="2880"/>
          </w:tcPr>
          <w:p>
            <w:r>
              <w:t>Nie — serwery w Polsce</w:t>
            </w:r>
          </w:p>
        </w:tc>
      </w:tr>
      <w:tr>
        <w:tc>
          <w:tcPr>
            <w:tcW w:type="dxa" w:w="2880"/>
          </w:tcPr>
          <w:p>
            <w:r>
              <w:t>Initzero (Łukasz Wąsikowski) — (administracja serwerami i kopiami zapasowymi)</w:t>
            </w:r>
          </w:p>
        </w:tc>
        <w:tc>
          <w:tcPr>
            <w:tcW w:type="dxa" w:w="2880"/>
          </w:tcPr>
          <w:p>
            <w:r>
              <w:t>Polska</w:t>
            </w:r>
          </w:p>
        </w:tc>
        <w:tc>
          <w:tcPr>
            <w:tcW w:type="dxa" w:w="2880"/>
          </w:tcPr>
          <w:p>
            <w:r>
              <w:t>Nie</w:t>
            </w:r>
          </w:p>
        </w:tc>
      </w:tr>
      <w:tr>
        <w:tc>
          <w:tcPr>
            <w:tcW w:type="dxa" w:w="2880"/>
          </w:tcPr>
          <w:p>
            <w:r>
              <w:t>Core-Tel Polska Sp. z o.o. — (operator telekomunikacyjny — połączenia i wiadomości SMS)</w:t>
            </w:r>
          </w:p>
        </w:tc>
        <w:tc>
          <w:tcPr>
            <w:tcW w:type="dxa" w:w="2880"/>
          </w:tcPr>
          <w:p>
            <w:r>
              <w:t>ul. Komisji Edukacji Narodowej 36 lok. 112B, 02-797 Warszawa, Polska</w:t>
            </w:r>
          </w:p>
        </w:tc>
        <w:tc>
          <w:tcPr>
            <w:tcW w:type="dxa" w:w="2880"/>
          </w:tcPr>
          <w:p>
            <w:r>
              <w:t>Nie</w:t>
            </w:r>
          </w:p>
        </w:tc>
      </w:tr>
      <w:tr>
        <w:tc>
          <w:tcPr>
            <w:tcW w:type="dxa" w:w="2880"/>
          </w:tcPr>
          <w:p>
            <w:r>
              <w:t>Cloudflare, Inc. — (pośrednictwo i ochrona ruchu sieciowego do Usługi)</w:t>
            </w:r>
          </w:p>
        </w:tc>
        <w:tc>
          <w:tcPr>
            <w:tcW w:type="dxa" w:w="2880"/>
          </w:tcPr>
          <w:p>
            <w:r>
              <w:t>101 Townsend St., San Francisco, CA 94107, USA</w:t>
            </w:r>
          </w:p>
        </w:tc>
        <w:tc>
          <w:tcPr>
            <w:tcW w:type="dxa" w:w="2880"/>
          </w:tcPr>
          <w:p>
            <w:r>
              <w:t>Tak — USA; EU-US Data Privacy Framework lub standardowe klauzule umowne</w:t>
            </w:r>
          </w:p>
        </w:tc>
      </w:tr>
      <w:tr>
        <w:tc>
          <w:tcPr>
            <w:tcW w:type="dxa" w:w="2880"/>
          </w:tcPr>
          <w:p>
            <w:r>
              <w:t>OpenAI Ireland Limited — (modele AI — analiza i podsumowania rozmów, asystent, porządkowanie korespondencji e-mail i projekty odpowiedzi)</w:t>
            </w:r>
          </w:p>
        </w:tc>
        <w:tc>
          <w:tcPr>
            <w:tcW w:type="dxa" w:w="2880"/>
          </w:tcPr>
          <w:p>
            <w:r>
              <w:t>Dublin, Irlandia</w:t>
            </w:r>
          </w:p>
        </w:tc>
        <w:tc>
          <w:tcPr>
            <w:tcW w:type="dxa" w:w="2880"/>
          </w:tcPr>
          <w:p>
            <w:r>
              <w:t>Tak — USA (podmiot powiązany OpenAI); EU-US Data Privacy Framework lub standardowe klauzule umowne</w:t>
            </w:r>
          </w:p>
        </w:tc>
      </w:tr>
      <w:tr>
        <w:tc>
          <w:tcPr>
            <w:tcW w:type="dxa" w:w="2880"/>
          </w:tcPr>
          <w:p>
            <w:r>
              <w:t>Anthropic, PBC — (modele AI — dostawca zapasowy)</w:t>
            </w:r>
          </w:p>
        </w:tc>
        <w:tc>
          <w:tcPr>
            <w:tcW w:type="dxa" w:w="2880"/>
          </w:tcPr>
          <w:p>
            <w:r>
              <w:t>San Francisco, USA</w:t>
            </w:r>
          </w:p>
        </w:tc>
        <w:tc>
          <w:tcPr>
            <w:tcW w:type="dxa" w:w="2880"/>
          </w:tcPr>
          <w:p>
            <w:r>
              <w:t>Tak — USA; EU-US Data Privacy Framework lub standardowe klauzule umowne</w:t>
            </w:r>
          </w:p>
        </w:tc>
      </w:tr>
      <w:tr>
        <w:tc>
          <w:tcPr>
            <w:tcW w:type="dxa" w:w="2880"/>
          </w:tcPr>
          <w:p>
            <w:r>
              <w:t>Eleven Labs Inc. — (transkrypcja nagrań rozmów, asystent głosowy)</w:t>
            </w:r>
          </w:p>
        </w:tc>
        <w:tc>
          <w:tcPr>
            <w:tcW w:type="dxa" w:w="2880"/>
          </w:tcPr>
          <w:p>
            <w:r>
              <w:t>USA</w:t>
            </w:r>
          </w:p>
        </w:tc>
        <w:tc>
          <w:tcPr>
            <w:tcW w:type="dxa" w:w="2880"/>
          </w:tcPr>
          <w:p>
            <w:r>
              <w:t>Tak — USA; EU-US Data Privacy Framework lub standardowe klauzule umowne</w:t>
            </w:r>
          </w:p>
        </w:tc>
      </w:tr>
      <w:tr>
        <w:tc>
          <w:tcPr>
            <w:tcW w:type="dxa" w:w="2880"/>
          </w:tcPr>
          <w:p>
            <w:r>
              <w:t>Cantab Research Limited (Speechmatics) — (transkrypcja rozmów na żywo)</w:t>
            </w:r>
          </w:p>
        </w:tc>
        <w:tc>
          <w:tcPr>
            <w:tcW w:type="dxa" w:w="2880"/>
          </w:tcPr>
          <w:p>
            <w:r>
              <w:t>Cambridge, Wielka Brytania</w:t>
            </w:r>
          </w:p>
        </w:tc>
        <w:tc>
          <w:tcPr>
            <w:tcW w:type="dxa" w:w="2880"/>
          </w:tcPr>
          <w:p>
            <w:r>
              <w:t>Tak — Wielka Brytania; decyzja Komisji Europejskiej stwierdzająca odpowiedni stopień ochrony</w:t>
            </w:r>
          </w:p>
        </w:tc>
      </w:tr>
      <w:tr>
        <w:tc>
          <w:tcPr>
            <w:tcW w:type="dxa" w:w="2880"/>
          </w:tcPr>
          <w:p>
            <w:r>
              <w:t>Better Stack, Inc. — (logi techniczne Usługi)</w:t>
            </w:r>
          </w:p>
        </w:tc>
        <w:tc>
          <w:tcPr>
            <w:tcW w:type="dxa" w:w="2880"/>
          </w:tcPr>
          <w:p>
            <w:r>
              <w:t>USA</w:t>
            </w:r>
          </w:p>
        </w:tc>
        <w:tc>
          <w:tcPr>
            <w:tcW w:type="dxa" w:w="2880"/>
          </w:tcPr>
          <w:p>
            <w:r>
              <w:t>Tak — USA; EU-US Data Privacy Framework lub standardowe klauzule umowne</w:t>
            </w:r>
          </w:p>
        </w:tc>
      </w:tr>
      <w:tr>
        <w:tc>
          <w:tcPr>
            <w:tcW w:type="dxa" w:w="2880"/>
          </w:tcPr>
          <w:p>
            <w:r>
              <w:t>PostHog Inc. — (analityka korzystania z Usługi)</w:t>
            </w:r>
          </w:p>
        </w:tc>
        <w:tc>
          <w:tcPr>
            <w:tcW w:type="dxa" w:w="2880"/>
          </w:tcPr>
          <w:p>
            <w:r>
              <w:t>San Francisco, USA (dane przechowywane w UE)</w:t>
            </w:r>
          </w:p>
        </w:tc>
        <w:tc>
          <w:tcPr>
            <w:tcW w:type="dxa" w:w="2880"/>
          </w:tcPr>
          <w:p>
            <w:r>
              <w:t>Możliwy — USA; EU-US Data Privacy Framework lub standardowe klauzule umowne</w:t>
            </w:r>
          </w:p>
        </w:tc>
      </w:tr>
      <w:tr>
        <w:tc>
          <w:tcPr>
            <w:tcW w:type="dxa" w:w="2880"/>
          </w:tcPr>
          <w:p>
            <w:r>
              <w:t>Google Ireland Limited — (powiadomienia push — Firebase; poczta wychodząca PilotGo — Google Workspace)</w:t>
            </w:r>
          </w:p>
        </w:tc>
        <w:tc>
          <w:tcPr>
            <w:tcW w:type="dxa" w:w="2880"/>
          </w:tcPr>
          <w:p>
            <w:r>
              <w:t>Gordon House, Barrow Street, Dublin 4, Irlandia</w:t>
            </w:r>
          </w:p>
        </w:tc>
        <w:tc>
          <w:tcPr>
            <w:tcW w:type="dxa" w:w="2880"/>
          </w:tcPr>
          <w:p>
            <w:r>
              <w:t>Możliwy — USA; EU-US Data Privacy Framework lub standardowe klauzule umowne</w:t>
            </w:r>
          </w:p>
        </w:tc>
      </w:tr>
      <w:tr>
        <w:tc>
          <w:tcPr>
            <w:tcW w:type="dxa" w:w="2880"/>
          </w:tcPr>
          <w:p>
            <w:r>
              <w:t>Cloudinary Inc. — (przechowywanie zdjęć i plików przesłanych do Usługi)</w:t>
            </w:r>
          </w:p>
        </w:tc>
        <w:tc>
          <w:tcPr>
            <w:tcW w:type="dxa" w:w="2880"/>
          </w:tcPr>
          <w:p>
            <w:r>
              <w:t>USA</w:t>
            </w:r>
          </w:p>
        </w:tc>
        <w:tc>
          <w:tcPr>
            <w:tcW w:type="dxa" w:w="2880"/>
          </w:tcPr>
          <w:p>
            <w:r>
              <w:t>Tak — USA; EU-US Data Privacy Framework lub standardowe klauzule umowne</w:t>
            </w:r>
          </w:p>
        </w:tc>
      </w:tr>
      <w:tr>
        <w:tc>
          <w:tcPr>
            <w:tcW w:type="dxa" w:w="2880"/>
          </w:tcPr>
          <w:p>
            <w:r>
              <w:t>RecyApp Prosta Spółka Akcyjna — (integracja z RecyApp: tworzenie i korygowanie wpisów odpadów w ewidencji BDO warsztatu, na koncie BDO warsztatu; w ramach usługi RecyApp dane przetwarzają też Vercel Inc. i Neon — serwery w UE/EOG — oraz Clerk, Inc. — obsługa logowania)</w:t>
            </w:r>
          </w:p>
        </w:tc>
        <w:tc>
          <w:tcPr>
            <w:tcW w:type="dxa" w:w="2880"/>
          </w:tcPr>
          <w:p>
            <w:r>
              <w:t>ul. Nowomiejska 3 lok. II, 80-864 Gdańsk, Polska</w:t>
            </w:r>
          </w:p>
        </w:tc>
        <w:tc>
          <w:tcPr>
            <w:tcW w:type="dxa" w:w="2880"/>
          </w:tcPr>
          <w:p>
            <w:r>
              <w:t>Tak — USA (Clerk, Inc.): EU-US Data Privacy Framework, a gdy nie ma on zastosowania — standardowe klauzule umowne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